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keepLines/>
        <w:keepNext/>
        <w:spacing w:after="0" w:line="220" w:lineRule="atLeast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УТВЕРЖДАЮ: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567"/>
        <w:jc w:val="right"/>
        <w:keepLines/>
        <w:keepNext/>
        <w:spacing w:after="0" w:line="220" w:lineRule="atLeast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Директор АО «Россети Сибирь Тываэнерго»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567"/>
        <w:jc w:val="right"/>
        <w:keepLines/>
        <w:keepNext/>
        <w:spacing w:after="0" w:line="220" w:lineRule="atLeast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ПО Тываэнергосбыт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567"/>
        <w:jc w:val="right"/>
        <w:keepLines/>
        <w:keepNext/>
        <w:spacing w:after="0" w:line="220" w:lineRule="atLeast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__________________ Е.С. Гладкова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567"/>
        <w:jc w:val="right"/>
        <w:keepLines/>
        <w:keepNext/>
        <w:spacing w:after="0" w:line="220" w:lineRule="atLeast"/>
        <w:widowControl w:val="off"/>
        <w:rPr>
          <w:rFonts w:ascii="Times New Roman" w:hAnsi="Times New Roman" w:eastAsia="Times New Roman" w:cs="Times New Roman"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«___» ______________ 2024 года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ind w:firstLine="567"/>
        <w:jc w:val="right"/>
        <w:keepLines/>
        <w:keepNext/>
        <w:spacing w:after="0" w:line="220" w:lineRule="atLeast"/>
        <w:widowControl w:val="off"/>
        <w:rPr>
          <w:bCs/>
          <w:sz w:val="18"/>
          <w:szCs w:val="18"/>
        </w:rPr>
        <w:outlineLvl w:val="1"/>
      </w:pPr>
      <w:r>
        <w:rPr>
          <w:bCs/>
          <w:sz w:val="18"/>
          <w:szCs w:val="18"/>
        </w:rPr>
      </w:r>
      <w:r>
        <w:rPr>
          <w:bCs/>
          <w:sz w:val="18"/>
          <w:szCs w:val="1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1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продление права использования программы для ЭВМ «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Контур.Диадок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47"/>
        <w:numPr>
          <w:ilvl w:val="0"/>
          <w:numId w:val="27"/>
        </w:numPr>
        <w:ind w:left="0" w:firstLine="0"/>
        <w:jc w:val="both"/>
        <w:rPr>
          <w:rStyle w:val="750"/>
          <w:b/>
          <w:smallCaps w:val="0"/>
          <w:color w:val="auto"/>
          <w:u w:val="none"/>
        </w:rPr>
      </w:pPr>
      <w:r>
        <w:rPr>
          <w:rStyle w:val="750"/>
          <w:b/>
          <w:smallCaps w:val="0"/>
          <w:color w:val="auto"/>
          <w:u w:val="none"/>
        </w:rPr>
        <w:t xml:space="preserve">Общие свед</w:t>
      </w:r>
      <w:r>
        <w:rPr>
          <w:rStyle w:val="750"/>
          <w:b/>
          <w:smallCaps w:val="0"/>
          <w:color w:val="auto"/>
          <w:u w:val="none"/>
        </w:rPr>
        <w:t xml:space="preserve">е</w:t>
      </w:r>
      <w:r>
        <w:rPr>
          <w:rStyle w:val="750"/>
          <w:b/>
          <w:smallCaps w:val="0"/>
          <w:color w:val="auto"/>
          <w:u w:val="none"/>
        </w:rPr>
        <w:t xml:space="preserve">ния</w:t>
      </w:r>
      <w:r>
        <w:rPr>
          <w:rStyle w:val="750"/>
          <w:b/>
          <w:smallCaps w:val="0"/>
          <w:color w:val="auto"/>
          <w:u w:val="none"/>
        </w:rPr>
      </w:r>
    </w:p>
    <w:p>
      <w:pPr>
        <w:pStyle w:val="752"/>
        <w:numPr>
          <w:ilvl w:val="1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настоящем техническом задании описаны общие требования, предъявляемые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программ</w:t>
      </w:r>
      <w:r>
        <w:rPr>
          <w:rFonts w:ascii="Times New Roman" w:hAnsi="Times New Roman" w:cs="Times New Roman"/>
          <w:b/>
          <w:sz w:val="24"/>
          <w:szCs w:val="24"/>
        </w:rPr>
        <w:t xml:space="preserve">е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ЭВМ «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Контур.Диадок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 xml:space="preserve">ИС ЭДО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1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ИС ЭДО должна быть возможность использования квалицированных сертиф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катов, выданных любым из аккредитованных по требованиям Фе</w:t>
      </w:r>
      <w:r>
        <w:rPr>
          <w:rFonts w:ascii="Times New Roman" w:hAnsi="Times New Roman" w:cs="Times New Roman"/>
          <w:sz w:val="24"/>
          <w:szCs w:val="24"/>
        </w:rPr>
        <w:t xml:space="preserve">дерального закона от 06.04.2011 </w:t>
      </w:r>
      <w:r>
        <w:rPr>
          <w:rFonts w:ascii="Times New Roman" w:hAnsi="Times New Roman" w:cs="Times New Roman"/>
          <w:sz w:val="24"/>
          <w:szCs w:val="24"/>
        </w:rPr>
        <w:t xml:space="preserve">№ 63-ФЗ «Об электронной подписи».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1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Документооборот в ИС ЭДО должен </w:t>
      </w:r>
      <w:r>
        <w:rPr>
          <w:rFonts w:ascii="Times New Roman" w:hAnsi="Times New Roman" w:cs="Times New Roman"/>
          <w:sz w:val="24"/>
          <w:szCs w:val="24"/>
        </w:rPr>
        <w:t xml:space="preserve">быть возможен как документами, электро</w:t>
      </w: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ные форматы</w:t>
      </w:r>
      <w:r>
        <w:rPr>
          <w:rFonts w:ascii="Times New Roman" w:hAnsi="Times New Roman" w:cs="Times New Roman"/>
          <w:sz w:val="24"/>
          <w:szCs w:val="24"/>
        </w:rPr>
        <w:t xml:space="preserve">, обязательность</w:t>
      </w:r>
      <w:r>
        <w:rPr>
          <w:rFonts w:ascii="Times New Roman" w:hAnsi="Times New Roman" w:cs="Times New Roman"/>
          <w:sz w:val="24"/>
          <w:szCs w:val="24"/>
        </w:rPr>
        <w:t xml:space="preserve"> которых установлен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российскими нормативно-правовыми актами, так и любыми иными документами без установленных форматов.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61"/>
        <w:jc w:val="both"/>
      </w:pPr>
      <w:r>
        <w:t xml:space="preserve">1.4.</w:t>
      </w:r>
      <w:r>
        <w:tab/>
      </w:r>
      <w:r>
        <w:t xml:space="preserve"> Документооборот в ИС ЭДО счетами-фактурами должен соответствовать требов</w:t>
      </w:r>
      <w:r>
        <w:t xml:space="preserve">а</w:t>
      </w:r>
      <w:r>
        <w:t xml:space="preserve">ниям, установленным приказом Министерства финансов Российской Федерации от </w:t>
      </w:r>
      <w:r>
        <w:t xml:space="preserve">05</w:t>
      </w:r>
      <w:r>
        <w:t xml:space="preserve">.</w:t>
      </w:r>
      <w:r>
        <w:t xml:space="preserve">02</w:t>
      </w:r>
      <w:r>
        <w:t xml:space="preserve">.20</w:t>
      </w:r>
      <w:r>
        <w:t xml:space="preserve">21</w:t>
      </w:r>
      <w:r>
        <w:t xml:space="preserve"> № 14н</w:t>
      </w:r>
      <w:r>
        <w:t xml:space="preserve"> «Об</w:t>
      </w:r>
      <w:r>
        <w:t xml:space="preserve">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</w:t>
      </w:r>
      <w:r/>
    </w:p>
    <w:p>
      <w:pPr>
        <w:pStyle w:val="752"/>
        <w:ind w:left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0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оператору ИС ЭДО</w:t>
      </w:r>
      <w:r>
        <w:rPr>
          <w:rFonts w:ascii="Times New Roman" w:hAnsi="Times New Roman" w:cs="Times New Roman"/>
          <w:b/>
          <w:sz w:val="24"/>
          <w:szCs w:val="24"/>
        </w:rPr>
        <w:t xml:space="preserve"> (Исполнителю)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47"/>
        <w:numPr>
          <w:ilvl w:val="1"/>
          <w:numId w:val="27"/>
        </w:numPr>
        <w:ind w:left="0" w:firstLine="0"/>
        <w:jc w:val="both"/>
        <w:rPr>
          <w:color w:val="auto"/>
        </w:rPr>
      </w:pPr>
      <w:r>
        <w:rPr>
          <w:color w:val="auto"/>
        </w:rPr>
        <w:t xml:space="preserve">Оператор ИС ЭДО</w:t>
      </w:r>
      <w:r>
        <w:rPr>
          <w:color w:val="auto"/>
        </w:rPr>
        <w:t xml:space="preserve"> обязан обеспечивать своевременную актуализацию элементов и функциональности ИС ЭДО в соответствии с требованиями законодательства Российской Федерации, уполномоченных органов государственной власти. </w:t>
      </w:r>
      <w:r>
        <w:rPr>
          <w:color w:val="auto"/>
        </w:rPr>
      </w:r>
    </w:p>
    <w:p>
      <w:pPr>
        <w:pStyle w:val="761"/>
        <w:jc w:val="both"/>
      </w:pPr>
      <w:r/>
      <w:r/>
    </w:p>
    <w:p>
      <w:pPr>
        <w:pStyle w:val="747"/>
        <w:numPr>
          <w:ilvl w:val="0"/>
          <w:numId w:val="27"/>
        </w:numPr>
        <w:ind w:left="0" w:firstLine="0"/>
        <w:jc w:val="both"/>
        <w:rPr>
          <w:rStyle w:val="750"/>
          <w:b/>
          <w:smallCaps w:val="0"/>
          <w:color w:val="auto"/>
          <w:u w:val="none"/>
        </w:rPr>
      </w:pPr>
      <w:r>
        <w:rPr>
          <w:rStyle w:val="750"/>
          <w:b/>
          <w:smallCaps w:val="0"/>
          <w:color w:val="auto"/>
          <w:u w:val="none"/>
        </w:rPr>
        <w:t xml:space="preserve">Требования к безопасности</w:t>
      </w:r>
      <w:r>
        <w:rPr>
          <w:rStyle w:val="750"/>
          <w:b/>
          <w:smallCaps w:val="0"/>
          <w:color w:val="auto"/>
          <w:u w:val="none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Оператором ИС ЭДО должно п</w:t>
      </w:r>
      <w:r>
        <w:rPr>
          <w:rFonts w:ascii="Times New Roman" w:hAnsi="Times New Roman" w:cs="Times New Roman"/>
          <w:sz w:val="24"/>
          <w:szCs w:val="24"/>
        </w:rPr>
        <w:t xml:space="preserve">роизводит</w:t>
      </w:r>
      <w:r>
        <w:rPr>
          <w:rFonts w:ascii="Times New Roman" w:hAnsi="Times New Roman" w:cs="Times New Roman"/>
          <w:sz w:val="24"/>
          <w:szCs w:val="24"/>
        </w:rPr>
        <w:t xml:space="preserve">ь</w:t>
      </w:r>
      <w:r>
        <w:rPr>
          <w:rFonts w:ascii="Times New Roman" w:hAnsi="Times New Roman" w:cs="Times New Roman"/>
          <w:sz w:val="24"/>
          <w:szCs w:val="24"/>
        </w:rPr>
        <w:t xml:space="preserve">ся регулярное обновление всех операц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онных систем и серверного программного обеспечения. </w:t>
      </w:r>
      <w:bookmarkStart w:id="0" w:name="_Hlk67668846"/>
      <w:r>
        <w:rPr>
          <w:rFonts w:ascii="Times New Roman" w:hAnsi="Times New Roman" w:cs="Times New Roman"/>
          <w:sz w:val="24"/>
          <w:szCs w:val="24"/>
        </w:rPr>
        <w:t xml:space="preserve">На серверах </w:t>
      </w:r>
      <w:r>
        <w:rPr>
          <w:rFonts w:ascii="Times New Roman" w:hAnsi="Times New Roman" w:cs="Times New Roman"/>
          <w:sz w:val="24"/>
          <w:szCs w:val="24"/>
        </w:rPr>
        <w:t xml:space="preserve">оператора ИС ЭДО должно быть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только лицензионное программное обеспечение.</w:t>
      </w:r>
      <w:bookmarkEnd w:id="0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1" w:name="_Hlk67668996"/>
      <w:r/>
      <w:bookmarkStart w:id="2" w:name="_Hlk67668982"/>
      <w:r>
        <w:rPr>
          <w:rFonts w:ascii="Times New Roman" w:hAnsi="Times New Roman" w:cs="Times New Roman"/>
          <w:sz w:val="24"/>
          <w:szCs w:val="24"/>
        </w:rPr>
        <w:t xml:space="preserve">Операции </w:t>
      </w:r>
      <w:r>
        <w:rPr>
          <w:rFonts w:ascii="Times New Roman" w:hAnsi="Times New Roman" w:cs="Times New Roman"/>
          <w:sz w:val="24"/>
          <w:szCs w:val="24"/>
        </w:rPr>
        <w:t xml:space="preserve">в ИС ЭДО </w:t>
      </w:r>
      <w:r>
        <w:rPr>
          <w:rFonts w:ascii="Times New Roman" w:hAnsi="Times New Roman" w:cs="Times New Roman"/>
          <w:sz w:val="24"/>
          <w:szCs w:val="24"/>
        </w:rPr>
        <w:t xml:space="preserve">логируются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3" w:name="_Hlk67669650"/>
      <w:r/>
      <w:bookmarkEnd w:id="2"/>
      <w:r>
        <w:rPr>
          <w:rFonts w:ascii="Times New Roman" w:hAnsi="Times New Roman" w:cs="Times New Roman"/>
          <w:sz w:val="24"/>
          <w:szCs w:val="24"/>
        </w:rPr>
        <w:t xml:space="preserve">Защита от потери или повреждения данных обеспечивается трехкратным резер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ным копированием документов и хранением копий на разнесенных серверах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организации защищенного канала доступа к серверам </w:t>
      </w:r>
      <w:r>
        <w:rPr>
          <w:rFonts w:ascii="Times New Roman" w:hAnsi="Times New Roman" w:cs="Times New Roman"/>
          <w:sz w:val="24"/>
          <w:szCs w:val="24"/>
        </w:rPr>
        <w:t xml:space="preserve">ИС ЭДО</w:t>
      </w:r>
      <w:r>
        <w:rPr>
          <w:rFonts w:ascii="Times New Roman" w:hAnsi="Times New Roman" w:cs="Times New Roman"/>
          <w:sz w:val="24"/>
          <w:szCs w:val="24"/>
        </w:rPr>
        <w:t xml:space="preserve"> используются протоколы </w:t>
      </w:r>
      <w:r>
        <w:rPr>
          <w:rFonts w:ascii="Times New Roman" w:hAnsi="Times New Roman" w:cs="Times New Roman"/>
          <w:sz w:val="24"/>
          <w:szCs w:val="24"/>
        </w:rPr>
        <w:t xml:space="preserve">SSL</w:t>
      </w:r>
      <w:r>
        <w:rPr>
          <w:rFonts w:ascii="Times New Roman" w:hAnsi="Times New Roman" w:cs="Times New Roman"/>
          <w:sz w:val="24"/>
          <w:szCs w:val="24"/>
        </w:rPr>
        <w:t xml:space="preserve">/TLS</w:t>
      </w:r>
      <w:r>
        <w:rPr>
          <w:rFonts w:ascii="Times New Roman" w:hAnsi="Times New Roman" w:cs="Times New Roman"/>
          <w:sz w:val="24"/>
          <w:szCs w:val="24"/>
        </w:rPr>
        <w:t xml:space="preserve">, которые</w:t>
      </w:r>
      <w:r>
        <w:rPr>
          <w:rFonts w:ascii="Times New Roman" w:hAnsi="Times New Roman" w:cs="Times New Roman"/>
          <w:sz w:val="24"/>
          <w:szCs w:val="24"/>
        </w:rPr>
        <w:t xml:space="preserve"> являются промышленным стандартом для безопасности веб-приложений в </w:t>
      </w:r>
      <w:r>
        <w:rPr>
          <w:rFonts w:ascii="Times New Roman" w:hAnsi="Times New Roman" w:cs="Times New Roman"/>
          <w:sz w:val="24"/>
          <w:szCs w:val="24"/>
        </w:rPr>
        <w:t xml:space="preserve">сети </w:t>
      </w:r>
      <w:r>
        <w:rPr>
          <w:rFonts w:ascii="Times New Roman" w:hAnsi="Times New Roman" w:cs="Times New Roman"/>
          <w:sz w:val="24"/>
          <w:szCs w:val="24"/>
        </w:rPr>
        <w:t xml:space="preserve">Интернет.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ind w:left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47"/>
        <w:numPr>
          <w:ilvl w:val="0"/>
          <w:numId w:val="27"/>
        </w:numPr>
        <w:ind w:left="0" w:firstLine="0"/>
        <w:jc w:val="both"/>
        <w:rPr>
          <w:rStyle w:val="750"/>
          <w:b/>
          <w:smallCaps w:val="0"/>
          <w:color w:val="auto"/>
          <w:u w:val="none"/>
        </w:rPr>
      </w:pPr>
      <w:r>
        <w:rPr>
          <w:rStyle w:val="750"/>
          <w:b/>
          <w:smallCaps w:val="0"/>
          <w:color w:val="auto"/>
          <w:u w:val="none"/>
        </w:rPr>
        <w:t xml:space="preserve">Требования к функциональности </w:t>
      </w:r>
      <w:r>
        <w:rPr>
          <w:rStyle w:val="750"/>
          <w:b/>
          <w:smallCaps w:val="0"/>
          <w:color w:val="auto"/>
          <w:u w:val="none"/>
        </w:rPr>
        <w:t xml:space="preserve">ИС ЭДО </w:t>
      </w:r>
      <w:r>
        <w:rPr>
          <w:rStyle w:val="750"/>
          <w:b/>
          <w:smallCaps w:val="0"/>
          <w:color w:val="auto"/>
          <w:u w:val="none"/>
        </w:rPr>
      </w:r>
    </w:p>
    <w:p>
      <w:pPr>
        <w:pStyle w:val="747"/>
        <w:numPr>
          <w:ilvl w:val="1"/>
          <w:numId w:val="27"/>
        </w:numPr>
        <w:ind w:left="0" w:firstLine="0"/>
        <w:jc w:val="both"/>
        <w:rPr>
          <w:color w:val="auto"/>
        </w:rPr>
      </w:pPr>
      <w:r>
        <w:rPr>
          <w:color w:val="auto"/>
        </w:rPr>
        <w:t xml:space="preserve">Предоставляемая ИС ЭДО должна обеспечивать: </w:t>
      </w:r>
      <w:r>
        <w:rPr>
          <w:color w:val="auto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подключения</w:t>
      </w:r>
      <w:r>
        <w:rPr>
          <w:rFonts w:ascii="Times New Roman" w:hAnsi="Times New Roman" w:cs="Times New Roman"/>
          <w:sz w:val="24"/>
          <w:szCs w:val="24"/>
        </w:rPr>
        <w:t xml:space="preserve"> через веб-интерфейс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мобильного приложение на </w:t>
      </w:r>
      <w:r>
        <w:rPr>
          <w:rFonts w:ascii="Times New Roman" w:hAnsi="Times New Roman" w:cs="Times New Roman"/>
          <w:sz w:val="24"/>
          <w:szCs w:val="24"/>
        </w:rPr>
        <w:t xml:space="preserve">iOS</w:t>
      </w:r>
      <w:r>
        <w:rPr>
          <w:rFonts w:ascii="Times New Roman" w:hAnsi="Times New Roman" w:cs="Times New Roman"/>
          <w:sz w:val="24"/>
          <w:szCs w:val="24"/>
        </w:rPr>
        <w:t xml:space="preserve"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Android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работы в режиме просмотра и согласования электронных документов по логину и паролю</w:t>
      </w:r>
      <w:r>
        <w:rPr>
          <w:rFonts w:ascii="Times New Roman" w:hAnsi="Times New Roman" w:cs="Times New Roman"/>
          <w:sz w:val="24"/>
          <w:szCs w:val="24"/>
        </w:rPr>
        <w:t xml:space="preserve"> (неограниченное количество аккаунтов)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двухфакторной аутентификации (через отправку пароля в смс-сообщении);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квалифицированн</w:t>
      </w:r>
      <w:r>
        <w:rPr>
          <w:rFonts w:ascii="Times New Roman" w:hAnsi="Times New Roman" w:cs="Times New Roman"/>
          <w:sz w:val="24"/>
          <w:szCs w:val="24"/>
        </w:rPr>
        <w:t xml:space="preserve">ых</w:t>
      </w:r>
      <w:r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 xml:space="preserve">ов</w:t>
      </w:r>
      <w:r>
        <w:rPr>
          <w:rFonts w:ascii="Times New Roman" w:hAnsi="Times New Roman" w:cs="Times New Roman"/>
          <w:sz w:val="24"/>
          <w:szCs w:val="24"/>
        </w:rPr>
        <w:t xml:space="preserve"> ключ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проверки ЭП</w:t>
      </w:r>
      <w:r>
        <w:rPr>
          <w:rFonts w:ascii="Times New Roman" w:hAnsi="Times New Roman" w:cs="Times New Roman"/>
          <w:sz w:val="24"/>
          <w:szCs w:val="24"/>
        </w:rPr>
        <w:t xml:space="preserve">, выданных </w:t>
      </w:r>
      <w:r>
        <w:rPr>
          <w:rFonts w:ascii="Times New Roman" w:hAnsi="Times New Roman" w:cs="Times New Roman"/>
          <w:sz w:val="24"/>
          <w:szCs w:val="24"/>
        </w:rPr>
        <w:t xml:space="preserve">любы</w:t>
      </w:r>
      <w:r>
        <w:rPr>
          <w:rFonts w:ascii="Times New Roman" w:hAnsi="Times New Roman" w:cs="Times New Roman"/>
          <w:sz w:val="24"/>
          <w:szCs w:val="24"/>
        </w:rPr>
        <w:t xml:space="preserve">ми аккредитованными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удостоверяющи</w:t>
      </w:r>
      <w:r>
        <w:rPr>
          <w:rFonts w:ascii="Times New Roman" w:hAnsi="Times New Roman" w:cs="Times New Roman"/>
          <w:sz w:val="24"/>
          <w:szCs w:val="24"/>
        </w:rPr>
        <w:t xml:space="preserve">ми</w:t>
      </w:r>
      <w:r>
        <w:rPr>
          <w:rFonts w:ascii="Times New Roman" w:hAnsi="Times New Roman" w:cs="Times New Roman"/>
          <w:sz w:val="24"/>
          <w:szCs w:val="24"/>
        </w:rPr>
        <w:t xml:space="preserve"> центр</w:t>
      </w:r>
      <w:r>
        <w:rPr>
          <w:rFonts w:ascii="Times New Roman" w:hAnsi="Times New Roman" w:cs="Times New Roman"/>
          <w:sz w:val="24"/>
          <w:szCs w:val="24"/>
        </w:rPr>
        <w:t xml:space="preserve">ами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массового поиска контрагентов в веб-интерфейсе;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приглашения контрагентов к обмену документами с использованием собственной формы соглашения об организации ЭДО;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разграничения прав доступа работников Заказчика к документам по подразделениям;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4" w:name="_Hlk67670314"/>
      <w:r>
        <w:rPr>
          <w:rFonts w:ascii="Times New Roman" w:hAnsi="Times New Roman" w:cs="Times New Roman"/>
          <w:sz w:val="24"/>
          <w:szCs w:val="24"/>
        </w:rPr>
        <w:t xml:space="preserve">перемещение документов между подразделениями без взимания дополнительной 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 одного ящика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(одного участника ЭДО)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обмен документами в форматах,</w:t>
      </w:r>
      <w:r>
        <w:rPr>
          <w:rFonts w:ascii="Times New Roman" w:hAnsi="Times New Roman" w:cs="Times New Roman"/>
          <w:sz w:val="24"/>
          <w:szCs w:val="24"/>
        </w:rPr>
        <w:t xml:space="preserve"> обязательность которых</w:t>
      </w:r>
      <w:r>
        <w:rPr>
          <w:rFonts w:ascii="Times New Roman" w:hAnsi="Times New Roman" w:cs="Times New Roman"/>
          <w:sz w:val="24"/>
          <w:szCs w:val="24"/>
        </w:rPr>
        <w:t xml:space="preserve"> установлен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нормативно-правовыми актами, а также в любых иных форматах;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согласование электронных документов перед их подписанием и отправкой;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согласование поступивших документов;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аннулирования документов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sz w:val="24"/>
          <w:szCs w:val="24"/>
        </w:rPr>
        <w:t xml:space="preserve">подписанных</w:t>
      </w:r>
      <w:r>
        <w:rPr>
          <w:rFonts w:ascii="Times New Roman" w:hAnsi="Times New Roman" w:cs="Times New Roman"/>
          <w:sz w:val="24"/>
          <w:szCs w:val="24"/>
        </w:rPr>
        <w:t xml:space="preserve">, между конт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агентами указанного оператора ЭДО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отказа </w:t>
      </w:r>
      <w:r>
        <w:rPr>
          <w:rFonts w:ascii="Times New Roman" w:hAnsi="Times New Roman" w:cs="Times New Roman"/>
          <w:sz w:val="24"/>
          <w:szCs w:val="24"/>
        </w:rPr>
        <w:t xml:space="preserve">контрагенту </w:t>
      </w:r>
      <w:r>
        <w:rPr>
          <w:rFonts w:ascii="Times New Roman" w:hAnsi="Times New Roman" w:cs="Times New Roman"/>
          <w:sz w:val="24"/>
          <w:szCs w:val="24"/>
        </w:rPr>
        <w:t xml:space="preserve">в аннулировании </w:t>
      </w:r>
      <w:r>
        <w:rPr>
          <w:rFonts w:ascii="Times New Roman" w:hAnsi="Times New Roman" w:cs="Times New Roman"/>
          <w:sz w:val="24"/>
          <w:szCs w:val="24"/>
        </w:rPr>
        <w:t xml:space="preserve">подписанных </w:t>
      </w:r>
      <w:r>
        <w:rPr>
          <w:rFonts w:ascii="Times New Roman" w:hAnsi="Times New Roman" w:cs="Times New Roman"/>
          <w:sz w:val="24"/>
          <w:szCs w:val="24"/>
        </w:rPr>
        <w:t xml:space="preserve">документов;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направления коротких сообщений (наличие чата);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поиск </w:t>
      </w:r>
      <w:r>
        <w:rPr>
          <w:rFonts w:ascii="Times New Roman" w:hAnsi="Times New Roman" w:cs="Times New Roman"/>
          <w:sz w:val="24"/>
          <w:szCs w:val="24"/>
        </w:rPr>
        <w:t xml:space="preserve">входящих и исходящих </w:t>
      </w:r>
      <w:r>
        <w:rPr>
          <w:rFonts w:ascii="Times New Roman" w:hAnsi="Times New Roman" w:cs="Times New Roman"/>
          <w:sz w:val="24"/>
          <w:szCs w:val="24"/>
        </w:rPr>
        <w:t xml:space="preserve">электронных документов по совокупности данных;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хранение </w:t>
      </w:r>
      <w:r>
        <w:rPr>
          <w:rFonts w:ascii="Times New Roman" w:hAnsi="Times New Roman" w:cs="Times New Roman"/>
          <w:sz w:val="24"/>
          <w:szCs w:val="24"/>
        </w:rPr>
        <w:t xml:space="preserve">электронных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на ресурсах </w:t>
      </w:r>
      <w:r>
        <w:rPr>
          <w:rFonts w:ascii="Times New Roman" w:hAnsi="Times New Roman" w:cs="Times New Roman"/>
          <w:sz w:val="24"/>
          <w:szCs w:val="24"/>
        </w:rPr>
        <w:t xml:space="preserve">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не менее 5 лет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без взимания дополнительной оплаты за хранение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</w:t>
      </w:r>
      <w:r>
        <w:rPr>
          <w:rFonts w:ascii="Times New Roman" w:hAnsi="Times New Roman" w:cs="Times New Roman"/>
          <w:sz w:val="24"/>
          <w:szCs w:val="24"/>
        </w:rPr>
        <w:t xml:space="preserve">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роумингового</w:t>
      </w:r>
      <w:r>
        <w:rPr>
          <w:rFonts w:ascii="Times New Roman" w:hAnsi="Times New Roman" w:cs="Times New Roman"/>
          <w:sz w:val="24"/>
          <w:szCs w:val="24"/>
        </w:rPr>
        <w:t xml:space="preserve"> документооборота с не менее чем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 xml:space="preserve">операторами ЭДО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визуализаци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документов;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визуализация информации об электронной подписи на печатной форме электро</w:t>
      </w: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ного документа в виде </w:t>
      </w:r>
      <w:r>
        <w:rPr>
          <w:rFonts w:ascii="Times New Roman" w:hAnsi="Times New Roman" w:cs="Times New Roman"/>
          <w:sz w:val="24"/>
          <w:szCs w:val="24"/>
        </w:rPr>
        <w:t xml:space="preserve">штампа с указанием владельцев сертификатов, времени подпис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ния и результата проверки </w:t>
      </w:r>
      <w:r>
        <w:rPr>
          <w:rFonts w:ascii="Times New Roman" w:hAnsi="Times New Roman" w:cs="Times New Roman"/>
          <w:iCs/>
          <w:sz w:val="24"/>
          <w:szCs w:val="24"/>
        </w:rPr>
        <w:t xml:space="preserve">сертификата на соответствие файлу документа;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</w:t>
      </w:r>
      <w:r>
        <w:rPr>
          <w:rFonts w:ascii="Times New Roman" w:hAnsi="Times New Roman" w:cs="Times New Roman"/>
          <w:sz w:val="24"/>
          <w:szCs w:val="24"/>
        </w:rPr>
        <w:t xml:space="preserve"> выгрузки протокола п</w:t>
      </w:r>
      <w:r>
        <w:rPr>
          <w:rFonts w:ascii="Times New Roman" w:hAnsi="Times New Roman" w:cs="Times New Roman"/>
          <w:sz w:val="24"/>
          <w:szCs w:val="24"/>
        </w:rPr>
        <w:t xml:space="preserve">ередачи документа, подтверждающего</w:t>
      </w:r>
      <w:r>
        <w:rPr>
          <w:rFonts w:ascii="Times New Roman" w:hAnsi="Times New Roman" w:cs="Times New Roman"/>
          <w:sz w:val="24"/>
          <w:szCs w:val="24"/>
        </w:rPr>
        <w:t xml:space="preserve"> отправку и </w:t>
      </w:r>
      <w:r>
        <w:rPr>
          <w:rFonts w:ascii="Times New Roman" w:hAnsi="Times New Roman" w:cs="Times New Roman"/>
          <w:sz w:val="24"/>
          <w:szCs w:val="24"/>
        </w:rPr>
        <w:t xml:space="preserve">подписание документа, подписанного квалифицированной</w:t>
      </w:r>
      <w:r>
        <w:rPr>
          <w:rFonts w:ascii="Times New Roman" w:hAnsi="Times New Roman" w:cs="Times New Roman"/>
          <w:sz w:val="24"/>
          <w:szCs w:val="24"/>
        </w:rPr>
        <w:t xml:space="preserve"> электронной подпи</w:t>
      </w:r>
      <w:r>
        <w:rPr>
          <w:rFonts w:ascii="Times New Roman" w:hAnsi="Times New Roman" w:cs="Times New Roman"/>
          <w:sz w:val="24"/>
          <w:szCs w:val="24"/>
        </w:rPr>
        <w:t xml:space="preserve">сью оп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ратора ЭДО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обработки электронных документов в количестве </w:t>
      </w:r>
      <w:r>
        <w:rPr>
          <w:rFonts w:ascii="Times New Roman" w:hAnsi="Times New Roman" w:cs="Times New Roman"/>
          <w:sz w:val="24"/>
          <w:szCs w:val="24"/>
        </w:rPr>
        <w:t xml:space="preserve">50000 </w:t>
      </w:r>
      <w:r>
        <w:rPr>
          <w:rFonts w:ascii="Times New Roman" w:hAnsi="Times New Roman" w:cs="Times New Roman"/>
          <w:sz w:val="24"/>
          <w:szCs w:val="24"/>
        </w:rPr>
        <w:t xml:space="preserve">штук;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2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поддержка работ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Контур.Диадок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на АРМ под управлением ОС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Альт рабочая станция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и офисным пакетом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Р7-Офис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sz w:val="24"/>
          <w:szCs w:val="24"/>
        </w:rPr>
      </w:r>
    </w:p>
    <w:p>
      <w:pPr>
        <w:pStyle w:val="747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747"/>
        <w:numPr>
          <w:ilvl w:val="0"/>
          <w:numId w:val="27"/>
        </w:numPr>
        <w:ind w:left="0" w:firstLine="0"/>
        <w:jc w:val="both"/>
        <w:rPr>
          <w:b/>
          <w:color w:val="auto"/>
        </w:rPr>
      </w:pPr>
      <w:r>
        <w:rPr>
          <w:b/>
          <w:color w:val="auto"/>
        </w:rPr>
        <w:t xml:space="preserve">Требования к базовой технической поддержке</w:t>
      </w:r>
      <w:r>
        <w:rPr>
          <w:b/>
          <w:color w:val="auto"/>
        </w:rPr>
      </w:r>
    </w:p>
    <w:p>
      <w:pPr>
        <w:pStyle w:val="747"/>
        <w:numPr>
          <w:ilvl w:val="1"/>
          <w:numId w:val="27"/>
        </w:numPr>
        <w:ind w:left="0" w:firstLine="0"/>
        <w:jc w:val="both"/>
        <w:rPr>
          <w:color w:val="auto"/>
        </w:rPr>
      </w:pPr>
      <w:r>
        <w:rPr>
          <w:color w:val="auto"/>
        </w:rPr>
        <w:t xml:space="preserve">Базовая техническая поддержка ИС ЭДО должна включать в себя возможность п</w:t>
      </w:r>
      <w:r>
        <w:rPr>
          <w:color w:val="auto"/>
        </w:rPr>
        <w:t xml:space="preserve">о</w:t>
      </w:r>
      <w:r>
        <w:rPr>
          <w:color w:val="auto"/>
        </w:rPr>
        <w:t xml:space="preserve">луч</w:t>
      </w:r>
      <w:r>
        <w:rPr>
          <w:color w:val="auto"/>
        </w:rPr>
        <w:t xml:space="preserve">ения круглосуточных телефонных </w:t>
      </w:r>
      <w:r>
        <w:rPr>
          <w:color w:val="auto"/>
        </w:rPr>
        <w:t xml:space="preserve">консультаций по единому федеральному номеру техподдержки по следующим вопросам:</w:t>
      </w:r>
      <w:r>
        <w:rPr>
          <w:color w:val="auto"/>
        </w:rPr>
      </w:r>
    </w:p>
    <w:p>
      <w:pPr>
        <w:pStyle w:val="747"/>
        <w:jc w:val="both"/>
        <w:rPr>
          <w:color w:val="auto"/>
        </w:rPr>
      </w:pPr>
      <w:r>
        <w:rPr>
          <w:color w:val="auto"/>
        </w:rPr>
        <w:t xml:space="preserve">─ подключения к ИС ЭДО;</w:t>
      </w:r>
      <w:r>
        <w:rPr>
          <w:color w:val="auto"/>
        </w:rPr>
      </w:r>
    </w:p>
    <w:p>
      <w:pPr>
        <w:pStyle w:val="747"/>
        <w:jc w:val="both"/>
        <w:rPr>
          <w:color w:val="auto"/>
        </w:rPr>
      </w:pPr>
      <w:r>
        <w:rPr>
          <w:color w:val="auto"/>
        </w:rPr>
        <w:t xml:space="preserve">─ получения квалифицированных сертификатов</w:t>
      </w:r>
      <w:r>
        <w:rPr>
          <w:color w:val="auto"/>
        </w:rPr>
      </w:r>
    </w:p>
    <w:p>
      <w:pPr>
        <w:pStyle w:val="747"/>
        <w:jc w:val="both"/>
        <w:rPr>
          <w:color w:val="auto"/>
        </w:rPr>
      </w:pPr>
      <w:r>
        <w:rPr>
          <w:color w:val="auto"/>
        </w:rPr>
        <w:t xml:space="preserve">─ установки вспомогательного программного обеспечения</w:t>
      </w:r>
      <w:r>
        <w:rPr>
          <w:color w:val="auto"/>
        </w:rPr>
        <w:t xml:space="preserve"> ─ </w:t>
      </w:r>
      <w:r>
        <w:rPr>
          <w:color w:val="auto"/>
        </w:rPr>
        <w:t xml:space="preserve">средства электронной по</w:t>
      </w:r>
      <w:r>
        <w:rPr>
          <w:color w:val="auto"/>
        </w:rPr>
        <w:t xml:space="preserve">д</w:t>
      </w:r>
      <w:r>
        <w:rPr>
          <w:color w:val="auto"/>
        </w:rPr>
        <w:t xml:space="preserve">писи;</w:t>
      </w:r>
      <w:r>
        <w:rPr>
          <w:color w:val="auto"/>
        </w:rPr>
      </w:r>
    </w:p>
    <w:p>
      <w:pPr>
        <w:pStyle w:val="747"/>
        <w:jc w:val="both"/>
        <w:rPr>
          <w:color w:val="auto"/>
        </w:rPr>
      </w:pPr>
      <w:r>
        <w:rPr>
          <w:color w:val="auto"/>
        </w:rPr>
        <w:t xml:space="preserve">─ эксплуатации ИС ЭДО.</w:t>
      </w:r>
      <w:r>
        <w:rPr>
          <w:color w:val="auto"/>
        </w:rPr>
      </w:r>
    </w:p>
    <w:p>
      <w:pPr>
        <w:pStyle w:val="770"/>
        <w:numPr>
          <w:ilvl w:val="1"/>
          <w:numId w:val="27"/>
        </w:numPr>
        <w:ind w:left="0" w:firstLine="0"/>
        <w:spacing w:line="240" w:lineRule="auto"/>
        <w:shd w:val="clear" w:color="auto" w:fill="auto"/>
        <w:tabs>
          <w:tab w:val="left" w:pos="83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Базовая техническая поддержка предусматривает предоставление новых версий </w:t>
      </w:r>
      <w:r>
        <w:rPr>
          <w:rFonts w:ascii="Times New Roman" w:hAnsi="Times New Roman" w:cs="Times New Roman"/>
          <w:sz w:val="24"/>
          <w:szCs w:val="24"/>
        </w:rPr>
        <w:t xml:space="preserve">используемого в ИС ЭДО, оперативное исправление ошибок.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52"/>
        <w:numPr>
          <w:ilvl w:val="1"/>
          <w:numId w:val="27"/>
        </w:numPr>
        <w:ind w:left="0" w:firstLine="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67671443"/>
      <w:r>
        <w:rPr>
          <w:rFonts w:ascii="Times New Roman" w:hAnsi="Times New Roman" w:cs="Times New Roman"/>
          <w:sz w:val="24"/>
          <w:szCs w:val="24"/>
        </w:rPr>
        <w:t xml:space="preserve">Базовая техническая подд</w:t>
      </w:r>
      <w:bookmarkStart w:id="6" w:name="_GoBack"/>
      <w:r/>
      <w:bookmarkEnd w:id="6"/>
      <w:r>
        <w:rPr>
          <w:rFonts w:ascii="Times New Roman" w:hAnsi="Times New Roman" w:cs="Times New Roman"/>
          <w:sz w:val="24"/>
          <w:szCs w:val="24"/>
        </w:rPr>
        <w:t xml:space="preserve">ержка</w:t>
      </w:r>
      <w:r>
        <w:rPr>
          <w:rFonts w:ascii="Times New Roman" w:hAnsi="Times New Roman" w:cs="Times New Roman"/>
          <w:sz w:val="24"/>
          <w:szCs w:val="24"/>
        </w:rPr>
        <w:t xml:space="preserve"> должна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</w:t>
      </w:r>
      <w:r>
        <w:rPr>
          <w:rFonts w:ascii="Times New Roman" w:hAnsi="Times New Roman" w:cs="Times New Roman"/>
          <w:sz w:val="24"/>
          <w:szCs w:val="24"/>
        </w:rPr>
        <w:t xml:space="preserve">ть</w:t>
      </w:r>
      <w:r>
        <w:rPr>
          <w:rFonts w:ascii="Times New Roman" w:hAnsi="Times New Roman" w:cs="Times New Roman"/>
          <w:sz w:val="24"/>
          <w:szCs w:val="24"/>
        </w:rPr>
        <w:t xml:space="preserve"> уведомление о проведении плановых регламентных работ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об аварийных ситуациях.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47"/>
        <w:numPr>
          <w:ilvl w:val="0"/>
          <w:numId w:val="27"/>
        </w:numPr>
        <w:ind w:left="0" w:firstLine="0"/>
        <w:jc w:val="both"/>
        <w:rPr>
          <w:b/>
          <w:color w:val="auto"/>
        </w:rPr>
      </w:pPr>
      <w:r>
        <w:rPr>
          <w:b/>
          <w:color w:val="auto"/>
        </w:rPr>
        <w:t xml:space="preserve">Планируемая (предельная) стоимость оказываемых услуг</w:t>
      </w:r>
      <w:r>
        <w:rPr>
          <w:b/>
          <w:color w:val="auto"/>
        </w:rPr>
      </w:r>
    </w:p>
    <w:p>
      <w:pPr>
        <w:pStyle w:val="747"/>
        <w:numPr>
          <w:ilvl w:val="1"/>
          <w:numId w:val="27"/>
        </w:numPr>
        <w:ind w:left="0" w:firstLine="0"/>
        <w:jc w:val="both"/>
        <w:rPr>
          <w:color w:val="auto"/>
        </w:rPr>
      </w:pPr>
      <w:r>
        <w:rPr>
          <w:color w:val="auto"/>
        </w:rPr>
        <w:t xml:space="preserve">Начальная (максимальная) цена лота (договора) составляет 225 000 (</w:t>
      </w:r>
      <w:r>
        <w:rPr>
          <w:color w:val="auto"/>
        </w:rPr>
        <w:t xml:space="preserve">двести дв</w:t>
      </w:r>
      <w:r>
        <w:rPr>
          <w:color w:val="auto"/>
        </w:rPr>
        <w:t xml:space="preserve">а</w:t>
      </w:r>
      <w:r>
        <w:rPr>
          <w:color w:val="auto"/>
        </w:rPr>
        <w:t xml:space="preserve">дцать пять тысяч) рублей 00 копеек</w:t>
      </w:r>
      <w:r>
        <w:rPr>
          <w:color w:val="auto"/>
        </w:rPr>
      </w:r>
    </w:p>
    <w:p>
      <w:pPr>
        <w:pStyle w:val="747"/>
        <w:jc w:val="both"/>
        <w:rPr>
          <w:i/>
          <w:iCs/>
          <w:color w:val="auto"/>
        </w:rPr>
      </w:pPr>
      <w:r>
        <w:rPr>
          <w:color w:val="auto"/>
        </w:rPr>
        <w:t xml:space="preserve">Договор по результатам закупки заключается на начальную (максимальную) цену закупки (цену лота).</w:t>
      </w:r>
      <w:bookmarkEnd w:id="5"/>
      <w:r/>
      <w:r>
        <w:rPr>
          <w:i/>
          <w:iCs/>
          <w:color w:val="auto"/>
        </w:rPr>
      </w:r>
    </w:p>
    <w:p>
      <w:pPr>
        <w:pStyle w:val="752"/>
        <w:ind w:left="0"/>
        <w:jc w:val="center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752"/>
        <w:ind w:left="0"/>
        <w:jc w:val="center"/>
        <w:spacing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752"/>
        <w:ind w:left="0"/>
        <w:jc w:val="center"/>
        <w:spacing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z w:val="24"/>
          <w:szCs w:val="24"/>
          <w:highlight w:val="none"/>
        </w:rPr>
      </w:r>
    </w:p>
    <w:p>
      <w:pPr>
        <w:pStyle w:val="752"/>
        <w:ind w:left="0"/>
        <w:jc w:val="center"/>
        <w:spacing w:line="240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Спецификация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tbl>
      <w:tblPr>
        <w:tblW w:w="0" w:type="auto"/>
        <w:tblInd w:w="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3289"/>
        <w:gridCol w:w="709"/>
        <w:gridCol w:w="992"/>
        <w:gridCol w:w="3969"/>
      </w:tblGrid>
      <w:tr>
        <w:tblPrEx/>
        <w:trPr>
          <w:tblHeader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3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32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 xml:space="preserve">Номер в Едином реестре российских программ для электронных вычислительных машин и баз данных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3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32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использования программы для ЭВМ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Контур.Диадок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тарифный план «50000 документов»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1,00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Реестровая запись № 532 от 29.04.2016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752"/>
        <w:ind w:left="0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993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PS">
    <w:panose1 w:val="05050102010706020507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87040158"/>
      <w:docPartObj>
        <w:docPartGallery w:val="Page Numbers (Top of Page)"/>
        <w:docPartUnique w:val="true"/>
      </w:docPartObj>
      <w:rPr/>
    </w:sdtPr>
    <w:sdtContent>
      <w:p>
        <w:pPr>
          <w:pStyle w:val="76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6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67" w:hanging="113"/>
        <w:tabs>
          <w:tab w:val="num" w:pos="567" w:leader="none"/>
        </w:tabs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b/>
        <w:i w:val="0"/>
        <w:color w:val="auto"/>
      </w:rPr>
    </w:lvl>
    <w:lvl w:ilvl="2">
      <w:start w:val="2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hint="default"/>
        <w:b/>
        <w:i w:val="0"/>
        <w:color w:val="auto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Arial" w:hAnsi="Arial" w:cs="Arial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PS" w:hAnsi="SymbolP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ideographDigital"/>
      <w:isLgl w:val="false"/>
      <w:suff w:val="tab"/>
      <w:lvlText w:val="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PS" w:hAnsi="SymbolP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9"/>
  </w:num>
  <w:num w:numId="3">
    <w:abstractNumId w:val="8"/>
  </w:num>
  <w:num w:numId="4">
    <w:abstractNumId w:val="24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22"/>
  </w:num>
  <w:num w:numId="15">
    <w:abstractNumId w:val="27"/>
  </w:num>
  <w:num w:numId="16">
    <w:abstractNumId w:val="6"/>
    <w:lvlOverride w:ilvl="1">
      <w:startOverride w:val="2"/>
    </w:lvlOverride>
    <w:lvlOverride w:ilvl="2">
      <w:startOverride w:val="2"/>
    </w:lvlOverride>
  </w:num>
  <w:num w:numId="17">
    <w:abstractNumId w:val="6"/>
  </w:num>
  <w:num w:numId="18">
    <w:abstractNumId w:val="11"/>
  </w:num>
  <w:num w:numId="19">
    <w:abstractNumId w:val="26"/>
  </w:num>
  <w:num w:numId="20">
    <w:abstractNumId w:val="16"/>
  </w:num>
  <w:num w:numId="21">
    <w:abstractNumId w:val="18"/>
  </w:num>
  <w:num w:numId="22">
    <w:abstractNumId w:val="28"/>
  </w:num>
  <w:num w:numId="23">
    <w:abstractNumId w:val="10"/>
  </w:num>
  <w:num w:numId="24">
    <w:abstractNumId w:val="17"/>
  </w:num>
  <w:num w:numId="25">
    <w:abstractNumId w:val="19"/>
  </w:num>
  <w:num w:numId="26">
    <w:abstractNumId w:val="25"/>
  </w:num>
  <w:num w:numId="27">
    <w:abstractNumId w:val="13"/>
  </w:num>
  <w:num w:numId="28">
    <w:abstractNumId w:val="7"/>
  </w:num>
  <w:num w:numId="29">
    <w:abstractNumId w:val="31"/>
  </w:num>
  <w:num w:numId="30">
    <w:abstractNumId w:val="15"/>
  </w:num>
  <w:num w:numId="31">
    <w:abstractNumId w:val="30"/>
  </w:num>
  <w:num w:numId="32">
    <w:abstractNumId w:val="2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43"/>
    <w:next w:val="74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4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43"/>
    <w:next w:val="74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4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43"/>
    <w:next w:val="74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4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43"/>
    <w:next w:val="74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4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43"/>
    <w:next w:val="74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4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43"/>
    <w:next w:val="74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4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3"/>
    <w:next w:val="74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4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3"/>
    <w:next w:val="74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4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3"/>
    <w:next w:val="74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4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744"/>
    <w:link w:val="748"/>
    <w:uiPriority w:val="10"/>
    <w:rPr>
      <w:sz w:val="48"/>
      <w:szCs w:val="48"/>
    </w:rPr>
  </w:style>
  <w:style w:type="paragraph" w:styleId="36">
    <w:name w:val="Subtitle"/>
    <w:basedOn w:val="743"/>
    <w:next w:val="74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44"/>
    <w:link w:val="36"/>
    <w:uiPriority w:val="11"/>
    <w:rPr>
      <w:sz w:val="24"/>
      <w:szCs w:val="24"/>
    </w:rPr>
  </w:style>
  <w:style w:type="paragraph" w:styleId="38">
    <w:name w:val="Quote"/>
    <w:basedOn w:val="743"/>
    <w:next w:val="74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3"/>
    <w:next w:val="74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44"/>
    <w:link w:val="765"/>
    <w:uiPriority w:val="99"/>
  </w:style>
  <w:style w:type="character" w:styleId="45">
    <w:name w:val="Footer Char"/>
    <w:basedOn w:val="744"/>
    <w:link w:val="767"/>
    <w:uiPriority w:val="99"/>
  </w:style>
  <w:style w:type="paragraph" w:styleId="46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67"/>
    <w:uiPriority w:val="99"/>
  </w:style>
  <w:style w:type="table" w:styleId="48">
    <w:name w:val="Table Grid"/>
    <w:basedOn w:val="7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4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44"/>
    <w:uiPriority w:val="99"/>
    <w:unhideWhenUsed/>
    <w:rPr>
      <w:vertAlign w:val="superscript"/>
    </w:rPr>
  </w:style>
  <w:style w:type="paragraph" w:styleId="178">
    <w:name w:val="endnote text"/>
    <w:basedOn w:val="74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44"/>
    <w:uiPriority w:val="99"/>
    <w:semiHidden/>
    <w:unhideWhenUsed/>
    <w:rPr>
      <w:vertAlign w:val="superscript"/>
    </w:rPr>
  </w:style>
  <w:style w:type="paragraph" w:styleId="181">
    <w:name w:val="toc 1"/>
    <w:basedOn w:val="743"/>
    <w:next w:val="74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43"/>
    <w:next w:val="74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43"/>
    <w:next w:val="74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43"/>
    <w:next w:val="74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3"/>
    <w:next w:val="74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3"/>
    <w:next w:val="74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3"/>
    <w:next w:val="74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3"/>
    <w:next w:val="74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3"/>
    <w:next w:val="74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43"/>
    <w:next w:val="743"/>
    <w:uiPriority w:val="99"/>
    <w:unhideWhenUsed/>
    <w:pPr>
      <w:spacing w:after="0" w:afterAutospacing="0"/>
    </w:pPr>
  </w:style>
  <w:style w:type="paragraph" w:styleId="743" w:default="1">
    <w:name w:val="Normal"/>
    <w:qFormat/>
  </w:style>
  <w:style w:type="character" w:styleId="744" w:default="1">
    <w:name w:val="Default Paragraph Font"/>
    <w:uiPriority w:val="1"/>
    <w:semiHidden/>
    <w:unhideWhenUsed/>
  </w:style>
  <w:style w:type="table" w:styleId="7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6" w:default="1">
    <w:name w:val="No List"/>
    <w:uiPriority w:val="99"/>
    <w:semiHidden/>
    <w:unhideWhenUsed/>
  </w:style>
  <w:style w:type="paragraph" w:styleId="747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748">
    <w:name w:val="Title"/>
    <w:basedOn w:val="743"/>
    <w:next w:val="743"/>
    <w:link w:val="749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749" w:customStyle="1">
    <w:name w:val="Название Знак"/>
    <w:basedOn w:val="744"/>
    <w:link w:val="748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750">
    <w:name w:val="Subtle Reference"/>
    <w:basedOn w:val="744"/>
    <w:uiPriority w:val="31"/>
    <w:qFormat/>
    <w:rPr>
      <w:smallCaps/>
      <w:color w:val="c0504d" w:themeColor="accent2"/>
      <w:u w:val="single"/>
    </w:rPr>
  </w:style>
  <w:style w:type="character" w:styleId="751">
    <w:name w:val="Intense Reference"/>
    <w:basedOn w:val="744"/>
    <w:uiPriority w:val="32"/>
    <w:qFormat/>
    <w:rPr>
      <w:b/>
      <w:bCs/>
      <w:smallCaps/>
      <w:color w:val="c0504d" w:themeColor="accent2"/>
      <w:spacing w:val="5"/>
      <w:u w:val="single"/>
    </w:rPr>
  </w:style>
  <w:style w:type="paragraph" w:styleId="752">
    <w:name w:val="List Paragraph"/>
    <w:basedOn w:val="743"/>
    <w:link w:val="762"/>
    <w:uiPriority w:val="34"/>
    <w:qFormat/>
    <w:pPr>
      <w:contextualSpacing/>
      <w:ind w:left="720"/>
    </w:pPr>
  </w:style>
  <w:style w:type="character" w:styleId="753">
    <w:name w:val="annotation reference"/>
    <w:basedOn w:val="744"/>
    <w:uiPriority w:val="99"/>
    <w:semiHidden/>
    <w:unhideWhenUsed/>
    <w:rPr>
      <w:sz w:val="16"/>
      <w:szCs w:val="16"/>
    </w:rPr>
  </w:style>
  <w:style w:type="paragraph" w:styleId="754">
    <w:name w:val="annotation text"/>
    <w:basedOn w:val="743"/>
    <w:link w:val="75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755" w:customStyle="1">
    <w:name w:val="Текст примечания Знак"/>
    <w:basedOn w:val="744"/>
    <w:link w:val="754"/>
    <w:uiPriority w:val="99"/>
    <w:semiHidden/>
    <w:rPr>
      <w:sz w:val="20"/>
      <w:szCs w:val="20"/>
    </w:rPr>
  </w:style>
  <w:style w:type="paragraph" w:styleId="756">
    <w:name w:val="annotation subject"/>
    <w:basedOn w:val="754"/>
    <w:next w:val="754"/>
    <w:link w:val="757"/>
    <w:uiPriority w:val="99"/>
    <w:semiHidden/>
    <w:unhideWhenUsed/>
    <w:rPr>
      <w:b/>
      <w:bCs/>
    </w:rPr>
  </w:style>
  <w:style w:type="character" w:styleId="757" w:customStyle="1">
    <w:name w:val="Тема примечания Знак"/>
    <w:basedOn w:val="755"/>
    <w:link w:val="756"/>
    <w:uiPriority w:val="99"/>
    <w:semiHidden/>
    <w:rPr>
      <w:b/>
      <w:bCs/>
      <w:sz w:val="20"/>
      <w:szCs w:val="20"/>
    </w:rPr>
  </w:style>
  <w:style w:type="paragraph" w:styleId="758">
    <w:name w:val="Balloon Text"/>
    <w:basedOn w:val="743"/>
    <w:link w:val="75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59" w:customStyle="1">
    <w:name w:val="Текст выноски Знак"/>
    <w:basedOn w:val="744"/>
    <w:link w:val="758"/>
    <w:uiPriority w:val="99"/>
    <w:semiHidden/>
    <w:rPr>
      <w:rFonts w:ascii="Tahoma" w:hAnsi="Tahoma" w:cs="Tahoma"/>
      <w:sz w:val="16"/>
      <w:szCs w:val="16"/>
    </w:rPr>
  </w:style>
  <w:style w:type="character" w:styleId="760">
    <w:name w:val="Hyperlink"/>
    <w:basedOn w:val="744"/>
    <w:uiPriority w:val="99"/>
    <w:unhideWhenUsed/>
    <w:rPr>
      <w:color w:val="0000ff" w:themeColor="hyperlink"/>
      <w:u w:val="single"/>
    </w:rPr>
  </w:style>
  <w:style w:type="paragraph" w:styleId="761" w:customStyle="1">
    <w:name w:val="ConsPlusNormal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762" w:customStyle="1">
    <w:name w:val="Абзац списка Знак"/>
    <w:basedOn w:val="744"/>
    <w:link w:val="752"/>
    <w:uiPriority w:val="34"/>
  </w:style>
  <w:style w:type="paragraph" w:styleId="763">
    <w:name w:val="Body Text"/>
    <w:basedOn w:val="743"/>
    <w:link w:val="764"/>
    <w:pPr>
      <w:jc w:val="center"/>
      <w:spacing w:after="0" w:line="240" w:lineRule="atLeast"/>
      <w:framePr w:w="3886" w:h="3028" w:hSpace="180" w:wrap="around" w:vAnchor="text" w:hAnchor="page" w:x="1222" w:y="124"/>
    </w:pPr>
    <w:rPr>
      <w:rFonts w:ascii="Times New Roman" w:hAnsi="Times New Roman" w:eastAsia="Times New Roman" w:cs="Times New Roman"/>
      <w:b/>
      <w:sz w:val="20"/>
      <w:szCs w:val="24"/>
      <w:lang w:eastAsia="ru-RU"/>
    </w:rPr>
  </w:style>
  <w:style w:type="character" w:styleId="764" w:customStyle="1">
    <w:name w:val="Основной текст Знак"/>
    <w:basedOn w:val="744"/>
    <w:link w:val="763"/>
    <w:rPr>
      <w:rFonts w:ascii="Times New Roman" w:hAnsi="Times New Roman" w:eastAsia="Times New Roman" w:cs="Times New Roman"/>
      <w:b/>
      <w:sz w:val="20"/>
      <w:szCs w:val="24"/>
      <w:lang w:eastAsia="ru-RU"/>
    </w:rPr>
  </w:style>
  <w:style w:type="paragraph" w:styleId="765">
    <w:name w:val="Header"/>
    <w:basedOn w:val="743"/>
    <w:link w:val="76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6" w:customStyle="1">
    <w:name w:val="Верхний колонтитул Знак"/>
    <w:basedOn w:val="744"/>
    <w:link w:val="765"/>
    <w:uiPriority w:val="99"/>
  </w:style>
  <w:style w:type="paragraph" w:styleId="767">
    <w:name w:val="Footer"/>
    <w:basedOn w:val="743"/>
    <w:link w:val="76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8" w:customStyle="1">
    <w:name w:val="Нижний колонтитул Знак"/>
    <w:basedOn w:val="744"/>
    <w:link w:val="767"/>
    <w:uiPriority w:val="99"/>
  </w:style>
  <w:style w:type="character" w:styleId="769" w:customStyle="1">
    <w:name w:val="Основной текст (32)_"/>
    <w:basedOn w:val="744"/>
    <w:link w:val="770"/>
    <w:uiPriority w:val="99"/>
    <w:rPr>
      <w:sz w:val="23"/>
      <w:szCs w:val="23"/>
      <w:shd w:val="clear" w:color="auto" w:fill="ffffff"/>
    </w:rPr>
  </w:style>
  <w:style w:type="paragraph" w:styleId="770" w:customStyle="1">
    <w:name w:val="Основной текст (32)1"/>
    <w:basedOn w:val="743"/>
    <w:link w:val="769"/>
    <w:uiPriority w:val="99"/>
    <w:pPr>
      <w:ind w:hanging="760"/>
      <w:jc w:val="both"/>
      <w:spacing w:after="0" w:line="274" w:lineRule="exact"/>
      <w:shd w:val="clear" w:color="auto" w:fill="ffffff"/>
    </w:pPr>
    <w:rPr>
      <w:sz w:val="23"/>
      <w:szCs w:val="23"/>
    </w:rPr>
  </w:style>
  <w:style w:type="character" w:styleId="771" w:customStyle="1">
    <w:name w:val="Unresolved Mention"/>
    <w:basedOn w:val="744"/>
    <w:uiPriority w:val="99"/>
    <w:semiHidden/>
    <w:unhideWhenUsed/>
    <w:rPr>
      <w:color w:val="605e5c"/>
      <w:shd w:val="clear" w:color="auto" w:fill="e1dfdd"/>
    </w:rPr>
  </w:style>
  <w:style w:type="character" w:styleId="772">
    <w:name w:val="Emphasis"/>
    <w:basedOn w:val="744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Прокопьев Антон Сергеевич</dc:creator>
  <cp:revision>8</cp:revision>
  <dcterms:created xsi:type="dcterms:W3CDTF">2023-06-15T08:09:00Z</dcterms:created>
  <dcterms:modified xsi:type="dcterms:W3CDTF">2024-05-15T10:42:28Z</dcterms:modified>
</cp:coreProperties>
</file>